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D643F">
              <w:t>DERECHO</w:t>
            </w:r>
          </w:p>
          <w:p w:rsidR="00AD643F" w:rsidRPr="007579F8" w:rsidRDefault="00AD643F" w:rsidP="002726C7">
            <w:r w:rsidRPr="00AD643F">
              <w:rPr>
                <w:b/>
              </w:rPr>
              <w:t>MÓDULO</w:t>
            </w:r>
            <w:r>
              <w:t>: FORMACIÓN BÁSICA</w:t>
            </w:r>
          </w:p>
          <w:p w:rsidR="002726C7" w:rsidRPr="003A369F" w:rsidRDefault="00AD643F" w:rsidP="002726C7">
            <w:pPr>
              <w:rPr>
                <w:u w:val="single"/>
              </w:rPr>
            </w:pPr>
            <w:r w:rsidRPr="00AD643F">
              <w:rPr>
                <w:b/>
                <w:u w:val="single"/>
              </w:rPr>
              <w:t>ASIGNATURA</w:t>
            </w:r>
            <w:r>
              <w:rPr>
                <w:u w:val="single"/>
              </w:rPr>
              <w:t>: DERECHO ROMANO</w:t>
            </w:r>
          </w:p>
        </w:tc>
        <w:tc>
          <w:tcPr>
            <w:tcW w:w="1123" w:type="dxa"/>
          </w:tcPr>
          <w:p w:rsidR="003A369F" w:rsidRDefault="003C5BF7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76437D">
            <w:r>
              <w:t>Categoría aca</w:t>
            </w:r>
            <w:r w:rsidR="00863147">
              <w:t>démica: Profesor</w:t>
            </w:r>
            <w:r w:rsidR="004C1293">
              <w:t>a</w:t>
            </w:r>
            <w:r w:rsidR="00863147">
              <w:t xml:space="preserve"> Contratad</w:t>
            </w:r>
            <w:r w:rsidR="004C1293">
              <w:t>a</w:t>
            </w:r>
            <w:r w:rsidR="00863147">
              <w:t xml:space="preserve"> Doctor</w:t>
            </w:r>
            <w:r w:rsidR="004C1293">
              <w:t>a</w:t>
            </w:r>
            <w:r w:rsidR="00863147">
              <w:t xml:space="preserve"> de Derecho Romano.</w:t>
            </w:r>
          </w:p>
          <w:p w:rsidR="00863147" w:rsidRDefault="00863147">
            <w:r>
              <w:t>Titulación: Doctor</w:t>
            </w:r>
            <w:r w:rsidR="004C1293">
              <w:t>a</w:t>
            </w:r>
            <w:r>
              <w:t xml:space="preserve"> en Derecho.</w:t>
            </w:r>
          </w:p>
          <w:p w:rsidR="001D7F79" w:rsidRDefault="00863147">
            <w:r>
              <w:t>Experiencia investigadora: Un sexenio de investigación.</w:t>
            </w:r>
          </w:p>
          <w:p w:rsidR="001D7F79" w:rsidRDefault="00863147">
            <w:r>
              <w:t>Experiencia docente: Dos quinquenios docentes.</w:t>
            </w:r>
          </w:p>
          <w:p w:rsidR="00D75D9E" w:rsidRPr="00853113" w:rsidRDefault="00D75D9E">
            <w:pPr>
              <w:rPr>
                <w:rFonts w:ascii="Calibri" w:hAnsi="Calibri" w:cs="Calibri"/>
                <w:lang w:val="es-ES_tradnl"/>
              </w:rPr>
            </w:pPr>
            <w:r w:rsidRPr="00853113">
              <w:rPr>
                <w:rFonts w:ascii="Calibri" w:hAnsi="Calibri" w:cs="Calibri"/>
                <w:lang w:val="es-ES_tradnl"/>
              </w:rPr>
              <w:t>Docencia en las siguientes asignaturas:</w:t>
            </w:r>
          </w:p>
          <w:p w:rsidR="00D75D9E" w:rsidRPr="00853113" w:rsidRDefault="00853113">
            <w:pPr>
              <w:rPr>
                <w:rFonts w:ascii="Calibri" w:hAnsi="Calibri" w:cs="Calibri"/>
                <w:lang w:val="es-ES_tradnl"/>
              </w:rPr>
            </w:pPr>
            <w:r w:rsidRPr="00853113">
              <w:rPr>
                <w:rFonts w:ascii="Calibri" w:hAnsi="Calibri" w:cs="Calibri"/>
                <w:lang w:val="es-ES_tradnl"/>
              </w:rPr>
              <w:t xml:space="preserve">- </w:t>
            </w:r>
            <w:r w:rsidR="00D75D9E" w:rsidRPr="00853113">
              <w:rPr>
                <w:rFonts w:ascii="Calibri" w:hAnsi="Calibri" w:cs="Calibri"/>
                <w:lang w:val="es-ES_tradnl"/>
              </w:rPr>
              <w:t>“Derecho Romano: Historia e Instituciones”.</w:t>
            </w:r>
          </w:p>
          <w:p w:rsidR="00D75D9E" w:rsidRPr="00853113" w:rsidRDefault="00853113">
            <w:pPr>
              <w:rPr>
                <w:rFonts w:ascii="Calibri" w:hAnsi="Calibri" w:cs="Calibri"/>
                <w:lang w:val="es-ES_tradnl"/>
              </w:rPr>
            </w:pPr>
            <w:r w:rsidRPr="00853113">
              <w:rPr>
                <w:rFonts w:ascii="Calibri" w:hAnsi="Calibri" w:cs="Calibri"/>
                <w:lang w:val="es-ES_tradnl"/>
              </w:rPr>
              <w:t xml:space="preserve">- </w:t>
            </w:r>
            <w:r w:rsidR="00D75D9E" w:rsidRPr="00853113">
              <w:rPr>
                <w:rFonts w:ascii="Calibri" w:hAnsi="Calibri" w:cs="Calibri"/>
                <w:lang w:val="es-ES_tradnl"/>
              </w:rPr>
              <w:t xml:space="preserve">“Fundamentos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romanísticos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 xml:space="preserve"> del Derecho Europeo”.</w:t>
            </w:r>
          </w:p>
          <w:p w:rsidR="00853113" w:rsidRPr="00853113" w:rsidRDefault="00853113">
            <w:pPr>
              <w:rPr>
                <w:rFonts w:ascii="Calibri" w:hAnsi="Calibri" w:cs="Calibri"/>
                <w:lang w:val="es-ES_tradnl"/>
              </w:rPr>
            </w:pPr>
            <w:r w:rsidRPr="00853113">
              <w:rPr>
                <w:rFonts w:ascii="Calibri" w:hAnsi="Calibri" w:cs="Calibri"/>
                <w:lang w:val="es-ES_tradnl"/>
              </w:rPr>
              <w:t xml:space="preserve">- </w:t>
            </w:r>
            <w:r w:rsidR="00D75D9E" w:rsidRPr="00853113">
              <w:rPr>
                <w:rFonts w:ascii="Calibri" w:hAnsi="Calibri" w:cs="Calibri"/>
                <w:lang w:val="es-ES_tradnl"/>
              </w:rPr>
              <w:t>“Visitas institucionales”.</w:t>
            </w:r>
          </w:p>
          <w:p w:rsidR="001D7F79" w:rsidRPr="00853113" w:rsidRDefault="00853113">
            <w:pPr>
              <w:rPr>
                <w:rFonts w:ascii="Calibri" w:hAnsi="Calibri" w:cs="Calibri"/>
              </w:rPr>
            </w:pPr>
            <w:r w:rsidRPr="00853113">
              <w:rPr>
                <w:rFonts w:ascii="Calibri" w:hAnsi="Calibri" w:cs="Calibri"/>
                <w:lang w:val="es-ES_tradnl"/>
              </w:rPr>
              <w:t xml:space="preserve">- </w:t>
            </w:r>
            <w:r w:rsidR="00D75D9E" w:rsidRPr="00853113">
              <w:rPr>
                <w:rFonts w:ascii="Calibri" w:hAnsi="Calibri" w:cs="Calibri"/>
                <w:lang w:val="es-ES_tradnl"/>
              </w:rPr>
              <w:t>“</w:t>
            </w:r>
            <w:proofErr w:type="spellStart"/>
            <w:r>
              <w:rPr>
                <w:rFonts w:ascii="Calibri" w:hAnsi="Calibri" w:cs="Calibri"/>
                <w:lang w:val="es-ES_tradnl"/>
              </w:rPr>
              <w:t>Einführung</w:t>
            </w:r>
            <w:proofErr w:type="spellEnd"/>
            <w:r>
              <w:rPr>
                <w:rFonts w:ascii="Calibri" w:hAnsi="Calibri" w:cs="Calibri"/>
                <w:lang w:val="es-ES_tradnl"/>
              </w:rPr>
              <w:t xml:space="preserve"> </w:t>
            </w:r>
            <w:r w:rsidR="00D75D9E" w:rsidRPr="00853113">
              <w:rPr>
                <w:rFonts w:ascii="Calibri" w:hAnsi="Calibri" w:cs="Calibri"/>
                <w:lang w:val="es-ES_tradnl"/>
              </w:rPr>
              <w:t xml:space="preserve">in das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spanische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Recht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und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seine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="00D75D9E" w:rsidRPr="00853113">
              <w:rPr>
                <w:rFonts w:ascii="Calibri" w:hAnsi="Calibri" w:cs="Calibri"/>
                <w:lang w:val="es-ES_tradnl"/>
              </w:rPr>
              <w:t>Rechtssprache</w:t>
            </w:r>
            <w:proofErr w:type="spellEnd"/>
            <w:r w:rsidR="00D75D9E" w:rsidRPr="00853113">
              <w:rPr>
                <w:rFonts w:ascii="Calibri" w:hAnsi="Calibri" w:cs="Calibri"/>
                <w:lang w:val="es-ES_tradnl"/>
              </w:rPr>
              <w:t>”</w:t>
            </w:r>
            <w:r w:rsidRPr="00853113">
              <w:rPr>
                <w:rFonts w:ascii="Calibri" w:hAnsi="Calibri" w:cs="Calibri"/>
                <w:lang w:val="es-ES_tradnl"/>
              </w:rPr>
              <w:t xml:space="preserve"> (Profesor</w:t>
            </w:r>
            <w:r w:rsidR="004C1293">
              <w:rPr>
                <w:rFonts w:ascii="Calibri" w:hAnsi="Calibri" w:cs="Calibri"/>
                <w:lang w:val="es-ES_tradnl"/>
              </w:rPr>
              <w:t>a</w:t>
            </w:r>
            <w:r w:rsidRPr="00853113">
              <w:rPr>
                <w:rFonts w:ascii="Calibri" w:hAnsi="Calibri" w:cs="Calibri"/>
                <w:lang w:val="es-ES_tradnl"/>
              </w:rPr>
              <w:t xml:space="preserve"> Visitante en la Universidad de Heidelberg, 2009, 2012, 2013, 2015)</w:t>
            </w:r>
            <w:r>
              <w:rPr>
                <w:rFonts w:ascii="Calibri" w:hAnsi="Calibri" w:cs="Calibri"/>
                <w:lang w:val="es-ES_tradnl"/>
              </w:rPr>
              <w:t>.</w:t>
            </w:r>
          </w:p>
          <w:p w:rsidR="001D7F79" w:rsidRDefault="001D7F79">
            <w:r>
              <w:t>.</w:t>
            </w:r>
          </w:p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863147">
              <w:t xml:space="preserve"> Derecho de familia.</w:t>
            </w:r>
          </w:p>
          <w:p w:rsidR="001D7F79" w:rsidRDefault="001D7F79">
            <w:r>
              <w:t>2.</w:t>
            </w:r>
            <w:r w:rsidR="00863147">
              <w:t xml:space="preserve"> Derecho de obligaciones.</w:t>
            </w:r>
          </w:p>
          <w:p w:rsidR="001D7F79" w:rsidRDefault="001D7F79" w:rsidP="00A44470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C0668" w:rsidRPr="0024481E" w:rsidRDefault="001C0668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Proyectos de investigación:</w:t>
            </w:r>
          </w:p>
          <w:p w:rsidR="00863147" w:rsidRPr="0024481E" w:rsidRDefault="001C0668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</w:t>
            </w:r>
            <w:r w:rsidR="00863147" w:rsidRPr="0024481E">
              <w:rPr>
                <w:rFonts w:ascii="Calibri" w:hAnsi="Calibri" w:cs="Calibri"/>
              </w:rPr>
              <w:t xml:space="preserve"> “La responsabilidad de los navieros, hoteleros y dueños de garajes en el Derecho romano, español y europeo comparado”. Proyecto de investigación Complutense (nº referencia PR1/03-11683; año 2003). Investigador principal, Dr. D. Javier </w:t>
            </w:r>
            <w:proofErr w:type="spellStart"/>
            <w:r w:rsidR="00863147" w:rsidRPr="0024481E">
              <w:rPr>
                <w:rFonts w:ascii="Calibri" w:hAnsi="Calibri" w:cs="Calibri"/>
              </w:rPr>
              <w:t>Paricio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. </w:t>
            </w:r>
          </w:p>
          <w:p w:rsidR="00863147" w:rsidRPr="0024481E" w:rsidRDefault="00863147" w:rsidP="001C0668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Cs w:val="22"/>
              </w:rPr>
            </w:pPr>
            <w:r w:rsidRPr="0024481E">
              <w:rPr>
                <w:rFonts w:ascii="Calibri" w:hAnsi="Calibri" w:cs="Calibri"/>
                <w:szCs w:val="22"/>
              </w:rPr>
              <w:t>- “La pena en los procesos por corrupción política en Derecho romano, español y europeo comparado”. Proyecto de investigación Complutense (nº referencia PR1/06-14489-B; año 2006). Investigador principal, Dr. D. José Antonio González Romanillos.</w:t>
            </w:r>
          </w:p>
          <w:p w:rsidR="00863147" w:rsidRPr="0024481E" w:rsidRDefault="00863147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 “Construcción y (des)construcción de Europa: política, poder y recursos en la transición de la Antigüedad tardía al Medievo”. Proyecto de investigación del Ministerio de Ciencia e Innovación (nº de referencia DER2008-00847/JURI; años 2008-2011). Investigador principal, Dr. D. José María Coma Fort.</w:t>
            </w:r>
          </w:p>
          <w:p w:rsidR="00863147" w:rsidRPr="0024481E" w:rsidRDefault="001C0668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</w:t>
            </w:r>
            <w:r w:rsidR="00863147" w:rsidRPr="0024481E">
              <w:rPr>
                <w:rFonts w:ascii="Calibri" w:hAnsi="Calibri" w:cs="Calibri"/>
              </w:rPr>
              <w:t xml:space="preserve"> “</w:t>
            </w:r>
            <w:proofErr w:type="spellStart"/>
            <w:r w:rsidR="00863147" w:rsidRPr="0024481E">
              <w:rPr>
                <w:rFonts w:ascii="Calibri" w:hAnsi="Calibri" w:cs="Calibri"/>
              </w:rPr>
              <w:t>Geordnetes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</w:t>
            </w:r>
            <w:proofErr w:type="spellStart"/>
            <w:r w:rsidR="00863147" w:rsidRPr="0024481E">
              <w:rPr>
                <w:rFonts w:ascii="Calibri" w:hAnsi="Calibri" w:cs="Calibri"/>
              </w:rPr>
              <w:t>Recht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- </w:t>
            </w:r>
            <w:proofErr w:type="spellStart"/>
            <w:r w:rsidR="00863147" w:rsidRPr="0024481E">
              <w:rPr>
                <w:rFonts w:ascii="Calibri" w:hAnsi="Calibri" w:cs="Calibri"/>
              </w:rPr>
              <w:t>Kodifiziertes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</w:t>
            </w:r>
            <w:proofErr w:type="spellStart"/>
            <w:r w:rsidR="00863147" w:rsidRPr="0024481E">
              <w:rPr>
                <w:rFonts w:ascii="Calibri" w:hAnsi="Calibri" w:cs="Calibri"/>
              </w:rPr>
              <w:t>Recht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? </w:t>
            </w:r>
            <w:proofErr w:type="spellStart"/>
            <w:r w:rsidR="00863147" w:rsidRPr="00AD643F">
              <w:rPr>
                <w:rFonts w:ascii="Calibri" w:hAnsi="Calibri" w:cs="Calibri"/>
                <w:lang w:val="en-US"/>
              </w:rPr>
              <w:t>Objektivierungsprozesse</w:t>
            </w:r>
            <w:proofErr w:type="spellEnd"/>
            <w:r w:rsidR="00863147" w:rsidRPr="00AD64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863147" w:rsidRPr="00AD643F">
              <w:rPr>
                <w:rFonts w:ascii="Calibri" w:hAnsi="Calibri" w:cs="Calibri"/>
                <w:lang w:val="en-US"/>
              </w:rPr>
              <w:t>bei</w:t>
            </w:r>
            <w:proofErr w:type="spellEnd"/>
            <w:r w:rsidR="00863147" w:rsidRPr="00AD643F">
              <w:rPr>
                <w:rFonts w:ascii="Calibri" w:hAnsi="Calibri" w:cs="Calibri"/>
                <w:lang w:val="en-US"/>
              </w:rPr>
              <w:t xml:space="preserve"> den </w:t>
            </w:r>
            <w:proofErr w:type="spellStart"/>
            <w:r w:rsidR="00863147" w:rsidRPr="00AD643F">
              <w:rPr>
                <w:rFonts w:ascii="Calibri" w:hAnsi="Calibri" w:cs="Calibri"/>
                <w:lang w:val="en-US"/>
              </w:rPr>
              <w:t>Pandektisten</w:t>
            </w:r>
            <w:proofErr w:type="spellEnd"/>
            <w:r w:rsidR="00863147" w:rsidRPr="00AD643F">
              <w:rPr>
                <w:rFonts w:ascii="Calibri" w:hAnsi="Calibri" w:cs="Calibri"/>
                <w:lang w:val="en-US"/>
              </w:rPr>
              <w:t xml:space="preserve"> des 19 </w:t>
            </w:r>
            <w:proofErr w:type="spellStart"/>
            <w:r w:rsidR="00863147" w:rsidRPr="00AD643F">
              <w:rPr>
                <w:rFonts w:ascii="Calibri" w:hAnsi="Calibri" w:cs="Calibri"/>
                <w:lang w:val="en-US"/>
              </w:rPr>
              <w:t>Jahrhunderts</w:t>
            </w:r>
            <w:proofErr w:type="spellEnd"/>
            <w:r w:rsidR="00863147" w:rsidRPr="00AD643F">
              <w:rPr>
                <w:rFonts w:ascii="Calibri" w:hAnsi="Calibri" w:cs="Calibri"/>
                <w:lang w:val="en-US"/>
              </w:rPr>
              <w:t xml:space="preserve">”. </w:t>
            </w:r>
            <w:r w:rsidR="00863147" w:rsidRPr="0024481E">
              <w:rPr>
                <w:rFonts w:ascii="Calibri" w:hAnsi="Calibri" w:cs="Calibri"/>
              </w:rPr>
              <w:t xml:space="preserve">Proyecto de investigación de la </w:t>
            </w:r>
            <w:proofErr w:type="spellStart"/>
            <w:r w:rsidR="00863147" w:rsidRPr="0024481E">
              <w:rPr>
                <w:rFonts w:ascii="Calibri" w:hAnsi="Calibri" w:cs="Calibri"/>
              </w:rPr>
              <w:t>Ruprecht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</w:t>
            </w:r>
            <w:proofErr w:type="spellStart"/>
            <w:r w:rsidR="00863147" w:rsidRPr="0024481E">
              <w:rPr>
                <w:rFonts w:ascii="Calibri" w:hAnsi="Calibri" w:cs="Calibri"/>
              </w:rPr>
              <w:t>Karls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</w:t>
            </w:r>
            <w:proofErr w:type="spellStart"/>
            <w:r w:rsidR="00863147" w:rsidRPr="0024481E">
              <w:rPr>
                <w:rFonts w:ascii="Calibri" w:hAnsi="Calibri" w:cs="Calibri"/>
              </w:rPr>
              <w:t>Universität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Heidelberg (nº referencia: </w:t>
            </w:r>
            <w:proofErr w:type="spellStart"/>
            <w:r w:rsidR="00863147" w:rsidRPr="0024481E">
              <w:rPr>
                <w:rFonts w:ascii="Calibri" w:hAnsi="Calibri" w:cs="Calibri"/>
              </w:rPr>
              <w:t>Excellenzinitiative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II / </w:t>
            </w:r>
            <w:proofErr w:type="spellStart"/>
            <w:r w:rsidR="00863147" w:rsidRPr="0024481E">
              <w:rPr>
                <w:rFonts w:ascii="Calibri" w:hAnsi="Calibri" w:cs="Calibri"/>
              </w:rPr>
              <w:t>Massnahme</w:t>
            </w:r>
            <w:proofErr w:type="spellEnd"/>
            <w:r w:rsidR="00863147" w:rsidRPr="0024481E">
              <w:rPr>
                <w:rFonts w:ascii="Calibri" w:hAnsi="Calibri" w:cs="Calibri"/>
              </w:rPr>
              <w:t xml:space="preserve"> 7, años 2013-2014). Investigador principal: Lena </w:t>
            </w:r>
            <w:proofErr w:type="spellStart"/>
            <w:r w:rsidR="00863147" w:rsidRPr="0024481E">
              <w:rPr>
                <w:rFonts w:ascii="Calibri" w:hAnsi="Calibri" w:cs="Calibri"/>
              </w:rPr>
              <w:t>Kunz</w:t>
            </w:r>
            <w:proofErr w:type="spellEnd"/>
            <w:r w:rsidR="00863147" w:rsidRPr="0024481E">
              <w:rPr>
                <w:rFonts w:ascii="Calibri" w:hAnsi="Calibri" w:cs="Calibri"/>
              </w:rPr>
              <w:t>.</w:t>
            </w:r>
          </w:p>
          <w:p w:rsidR="001D7F79" w:rsidRPr="0024481E" w:rsidRDefault="001C0668" w:rsidP="001C0668">
            <w:pPr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</w:t>
            </w:r>
            <w:r w:rsidR="00863147" w:rsidRPr="0024481E">
              <w:rPr>
                <w:rFonts w:ascii="Calibri" w:hAnsi="Calibri" w:cs="Calibri"/>
              </w:rPr>
              <w:t xml:space="preserve"> “Proyección de la cultura jurídica europea, de Roma a nuestros días: ciencia del Derecho, fundamentos conceptuales y ciudadanía”. Proyecto de investigación del Ministerio de Economía y Competitividad (n</w:t>
            </w:r>
            <w:r w:rsidR="00A44470" w:rsidRPr="0024481E">
              <w:rPr>
                <w:rFonts w:ascii="Calibri" w:hAnsi="Calibri" w:cs="Calibri"/>
              </w:rPr>
              <w:t xml:space="preserve">º de referencia DER2016-77387-R; </w:t>
            </w:r>
            <w:r w:rsidR="00863147" w:rsidRPr="0024481E">
              <w:rPr>
                <w:rFonts w:ascii="Calibri" w:hAnsi="Calibri" w:cs="Calibri"/>
              </w:rPr>
              <w:t xml:space="preserve">30/12/2016-29/12/2019). </w:t>
            </w:r>
            <w:r w:rsidR="00A44470" w:rsidRPr="0024481E">
              <w:rPr>
                <w:rFonts w:ascii="Calibri" w:hAnsi="Calibri" w:cs="Calibri"/>
              </w:rPr>
              <w:t xml:space="preserve">Investigador Principal, Alfonso Castro </w:t>
            </w:r>
            <w:proofErr w:type="spellStart"/>
            <w:r w:rsidR="00A44470" w:rsidRPr="0024481E">
              <w:rPr>
                <w:rFonts w:ascii="Calibri" w:hAnsi="Calibri" w:cs="Calibri"/>
              </w:rPr>
              <w:t>Saenz</w:t>
            </w:r>
            <w:proofErr w:type="spellEnd"/>
            <w:r w:rsidR="00863147" w:rsidRPr="0024481E">
              <w:rPr>
                <w:rFonts w:ascii="Calibri" w:hAnsi="Calibri" w:cs="Calibri"/>
              </w:rPr>
              <w:t>.</w:t>
            </w:r>
          </w:p>
          <w:p w:rsidR="001C0668" w:rsidRPr="0024481E" w:rsidRDefault="001C0668" w:rsidP="001C0668">
            <w:pPr>
              <w:rPr>
                <w:rFonts w:ascii="Calibri" w:hAnsi="Calibri" w:cs="Calibri"/>
              </w:rPr>
            </w:pPr>
          </w:p>
          <w:p w:rsidR="001C0668" w:rsidRPr="0024481E" w:rsidRDefault="001C0668" w:rsidP="001C0668">
            <w:pPr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Proyectos de innovación docente:</w:t>
            </w:r>
          </w:p>
          <w:p w:rsidR="001C0668" w:rsidRPr="0024481E" w:rsidRDefault="001C0668" w:rsidP="001C0668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Cs w:val="22"/>
              </w:rPr>
            </w:pPr>
            <w:r w:rsidRPr="0024481E">
              <w:rPr>
                <w:rFonts w:ascii="Calibri" w:hAnsi="Calibri" w:cs="Calibri"/>
                <w:szCs w:val="22"/>
              </w:rPr>
              <w:t>- Proyecto 177 (2006-07), “Derecho romano: de un derecho práctico al aprendizaje práctico del derecho”.</w:t>
            </w:r>
          </w:p>
          <w:p w:rsidR="0024481E" w:rsidRDefault="001C0668" w:rsidP="0024481E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Cs w:val="22"/>
              </w:rPr>
            </w:pPr>
            <w:r w:rsidRPr="0024481E">
              <w:rPr>
                <w:rFonts w:ascii="Calibri" w:hAnsi="Calibri" w:cs="Calibri"/>
                <w:szCs w:val="22"/>
              </w:rPr>
              <w:t xml:space="preserve">- Dirección del Proyecto 203 (2007-08), “Innovación educativa en el marco de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Pr="0024481E">
                <w:rPr>
                  <w:rFonts w:ascii="Calibri" w:hAnsi="Calibri" w:cs="Calibri"/>
                  <w:szCs w:val="22"/>
                </w:rPr>
                <w:t>la Declaración</w:t>
              </w:r>
            </w:smartTag>
            <w:r w:rsidR="0024481E">
              <w:rPr>
                <w:rFonts w:ascii="Calibri" w:hAnsi="Calibri" w:cs="Calibri"/>
                <w:szCs w:val="22"/>
              </w:rPr>
              <w:t xml:space="preserve"> de Bolonia”.</w:t>
            </w:r>
          </w:p>
          <w:p w:rsidR="001C0668" w:rsidRPr="0024481E" w:rsidRDefault="001C0668" w:rsidP="0024481E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Cs w:val="22"/>
              </w:rPr>
            </w:pPr>
            <w:r w:rsidRPr="0024481E">
              <w:rPr>
                <w:rFonts w:ascii="Calibri" w:hAnsi="Calibri" w:cs="Calibri"/>
                <w:szCs w:val="22"/>
              </w:rPr>
              <w:t>- Proyecto 112 (2009-10), “Gestión del cambio en la docencia de Ciencias Jurídicas”.</w:t>
            </w:r>
          </w:p>
          <w:p w:rsidR="001C0668" w:rsidRPr="0024481E" w:rsidRDefault="001C0668" w:rsidP="001C0668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Cs w:val="22"/>
              </w:rPr>
            </w:pPr>
            <w:r w:rsidRPr="0024481E">
              <w:rPr>
                <w:rFonts w:ascii="Calibri" w:hAnsi="Calibri" w:cs="Calibri"/>
                <w:szCs w:val="22"/>
              </w:rPr>
              <w:lastRenderedPageBreak/>
              <w:t>- Proyecto 231 (2010-11), “Experiencias educativas en la disciplina de Derecho romano”.</w:t>
            </w:r>
          </w:p>
          <w:p w:rsidR="001C0668" w:rsidRPr="0024481E" w:rsidRDefault="001C0668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 Proyecto 271 (2011-12), “Innovación docente en las disciplinas jurídicas básicas”.</w:t>
            </w:r>
          </w:p>
          <w:p w:rsidR="001C0668" w:rsidRPr="0024481E" w:rsidRDefault="001C0668" w:rsidP="001C0668">
            <w:pPr>
              <w:jc w:val="both"/>
              <w:rPr>
                <w:rFonts w:ascii="Calibri" w:hAnsi="Calibri" w:cs="Calibri"/>
              </w:rPr>
            </w:pPr>
            <w:r w:rsidRPr="0024481E">
              <w:rPr>
                <w:rFonts w:ascii="Calibri" w:hAnsi="Calibri" w:cs="Calibri"/>
              </w:rPr>
              <w:t>- Proyecto 81 (2014-15), “Los Trabajos Fin de Grado en las disciplinas jurídicas básicas”.</w:t>
            </w:r>
          </w:p>
          <w:p w:rsidR="001C0668" w:rsidRPr="0024481E" w:rsidRDefault="0024481E" w:rsidP="001C06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1C0668" w:rsidRPr="0024481E">
              <w:rPr>
                <w:rFonts w:ascii="Calibri" w:hAnsi="Calibri" w:cs="Calibri"/>
              </w:rPr>
              <w:t xml:space="preserve"> Proyecto 68 (2015-16), “Propuesta de diseño y ejecución de un Plan de Acción Tutorial propio de la Facultad de Derecho”.</w:t>
            </w:r>
          </w:p>
          <w:p w:rsidR="001C0668" w:rsidRPr="0024481E" w:rsidRDefault="0024481E" w:rsidP="001C06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1C0668" w:rsidRPr="0024481E">
              <w:rPr>
                <w:rFonts w:ascii="Calibri" w:hAnsi="Calibri" w:cs="Calibri"/>
              </w:rPr>
              <w:t xml:space="preserve"> Proyecto 119 (2015-16), “El Trabajo Fin de Grado en Derecho: propuestas para un modelo interdepartamental”.</w:t>
            </w:r>
          </w:p>
          <w:p w:rsidR="001C0668" w:rsidRPr="0024481E" w:rsidRDefault="0024481E" w:rsidP="001C066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1C0668" w:rsidRPr="0024481E">
              <w:rPr>
                <w:rFonts w:ascii="Calibri" w:hAnsi="Calibri" w:cs="Calibri"/>
              </w:rPr>
              <w:t xml:space="preserve"> Proyecto 113 (2016-17), “</w:t>
            </w:r>
            <w:r>
              <w:rPr>
                <w:rFonts w:ascii="Calibri" w:hAnsi="Calibri" w:cs="Calibri"/>
                <w:shd w:val="clear" w:color="auto" w:fill="FFFFFF"/>
              </w:rPr>
              <w:t xml:space="preserve">La </w:t>
            </w:r>
            <w:proofErr w:type="spellStart"/>
            <w:r w:rsidR="001C0668" w:rsidRPr="0024481E">
              <w:rPr>
                <w:rFonts w:ascii="Calibri" w:hAnsi="Calibri" w:cs="Calibri"/>
                <w:i/>
                <w:iCs/>
                <w:shd w:val="clear" w:color="auto" w:fill="FFFFFF"/>
              </w:rPr>
              <w:t>litis</w:t>
            </w:r>
            <w:proofErr w:type="spellEnd"/>
            <w:r w:rsidR="001C0668" w:rsidRPr="0024481E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1C0668" w:rsidRPr="0024481E">
              <w:rPr>
                <w:rFonts w:ascii="Calibri" w:hAnsi="Calibri" w:cs="Calibri"/>
                <w:i/>
                <w:iCs/>
                <w:shd w:val="clear" w:color="auto" w:fill="FFFFFF"/>
              </w:rPr>
              <w:t>simulatio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1C0668" w:rsidRPr="0024481E">
              <w:rPr>
                <w:rFonts w:ascii="Calibri" w:hAnsi="Calibri" w:cs="Calibri"/>
                <w:shd w:val="clear" w:color="auto" w:fill="FFFFFF"/>
              </w:rPr>
              <w:t>como experiencia de aprendizaje integrada en el Trabajo de Fin de Grado”.</w:t>
            </w:r>
          </w:p>
          <w:p w:rsidR="001C0668" w:rsidRDefault="0024481E" w:rsidP="001C0668">
            <w:pPr>
              <w:jc w:val="both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</w:rPr>
              <w:t>-</w:t>
            </w:r>
            <w:r w:rsidR="001C0668" w:rsidRPr="0024481E">
              <w:rPr>
                <w:rFonts w:ascii="Calibri" w:hAnsi="Calibri" w:cs="Calibri"/>
              </w:rPr>
              <w:t xml:space="preserve"> Proyecto 235 (2017-18), “</w:t>
            </w:r>
            <w:r w:rsidR="001C0668" w:rsidRPr="0024481E">
              <w:rPr>
                <w:rFonts w:ascii="Calibri" w:hAnsi="Calibri" w:cs="Calibri"/>
                <w:shd w:val="clear" w:color="auto" w:fill="FFFFFF"/>
              </w:rPr>
              <w:t>Cómo articular la investigación de profesores y estudiantes para una mejor docencia: transferencia de resultados en y desde la Universidad pública”</w:t>
            </w:r>
            <w:r w:rsidR="001C0668" w:rsidRPr="0024481E"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</w:p>
          <w:p w:rsidR="0024481E" w:rsidRPr="0024481E" w:rsidRDefault="0024481E" w:rsidP="001C066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- Proyecto 100 (2018-2019), </w:t>
            </w:r>
            <w:r w:rsidRPr="0024481E">
              <w:rPr>
                <w:rFonts w:ascii="Calibri" w:hAnsi="Calibri" w:cs="Calibri"/>
                <w:color w:val="222222"/>
                <w:shd w:val="clear" w:color="auto" w:fill="FFFFFF"/>
              </w:rPr>
              <w:t>"Estrategias para concienciar al estudiante de la necesidad de un lenguaje jurídico claro e inclusivo".</w:t>
            </w:r>
          </w:p>
          <w:p w:rsidR="001C0668" w:rsidRPr="0024481E" w:rsidRDefault="001C0668" w:rsidP="001C0668">
            <w:pPr>
              <w:rPr>
                <w:rFonts w:ascii="Calibri" w:hAnsi="Calibri" w:cs="Calibri"/>
              </w:rPr>
            </w:pPr>
          </w:p>
          <w:p w:rsidR="00A44470" w:rsidRPr="0024481E" w:rsidRDefault="00A44470" w:rsidP="001C0668">
            <w:pPr>
              <w:rPr>
                <w:rFonts w:ascii="Calibri" w:hAnsi="Calibri" w:cs="Calibri"/>
              </w:rPr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3147" w:rsidRPr="00863147" w:rsidRDefault="00863147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63147">
              <w:rPr>
                <w:rFonts w:ascii="Calibri" w:hAnsi="Calibri" w:cs="Calibri"/>
                <w:b/>
                <w:sz w:val="24"/>
                <w:szCs w:val="24"/>
              </w:rPr>
              <w:t>Libros y monografías</w:t>
            </w:r>
            <w:r w:rsidRPr="0086314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63147" w:rsidRPr="00863147" w:rsidRDefault="00F97CBF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La protección procesal del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minor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viginti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quinque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annis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en derecho romano,</w:t>
            </w:r>
            <w:r w:rsidR="00863147" w:rsidRPr="008631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Madrid 2008. 366 págs. </w:t>
            </w:r>
          </w:p>
          <w:p w:rsidR="00863147" w:rsidRPr="00863147" w:rsidRDefault="00863147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863147">
              <w:rPr>
                <w:rFonts w:ascii="Calibri" w:hAnsi="Calibri" w:cs="Calibri"/>
                <w:b/>
                <w:sz w:val="24"/>
                <w:szCs w:val="24"/>
              </w:rPr>
              <w:t>Artículos.</w:t>
            </w:r>
          </w:p>
          <w:p w:rsidR="00863147" w:rsidRPr="00863147" w:rsidRDefault="00F97CBF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“BGU 611: notas sobre la minoría de edad”, en </w:t>
            </w:r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Anuario da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Facultade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de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Dereito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da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Universidade</w:t>
            </w:r>
            <w:proofErr w:type="spellEnd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 da Coruña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>, 12 (2008). Págs</w:t>
            </w:r>
            <w:r w:rsidR="00A44470">
              <w:rPr>
                <w:rFonts w:ascii="Calibri" w:hAnsi="Calibri" w:cs="Calibri"/>
                <w:sz w:val="24"/>
                <w:szCs w:val="24"/>
              </w:rPr>
              <w:t>.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359-366.</w:t>
            </w:r>
          </w:p>
          <w:p w:rsidR="00863147" w:rsidRPr="00863147" w:rsidRDefault="00F97CBF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“La </w:t>
            </w:r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venia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aetatis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. Su regulación y relación con la </w:t>
            </w:r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 xml:space="preserve">cura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minorum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”, en </w:t>
            </w:r>
            <w:proofErr w:type="spellStart"/>
            <w:r w:rsidR="00A44470">
              <w:rPr>
                <w:rFonts w:ascii="Calibri" w:hAnsi="Calibri" w:cs="Calibri"/>
                <w:i/>
                <w:sz w:val="24"/>
                <w:szCs w:val="24"/>
              </w:rPr>
              <w:t>Annaeus</w:t>
            </w:r>
            <w:proofErr w:type="spellEnd"/>
            <w:r w:rsidR="00A44470">
              <w:rPr>
                <w:rFonts w:ascii="Calibri" w:hAnsi="Calibri" w:cs="Calibri"/>
                <w:i/>
                <w:sz w:val="24"/>
                <w:szCs w:val="24"/>
              </w:rPr>
              <w:t>. Anales de la tradición romaní</w:t>
            </w:r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stica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>, 4 (2007). Págs</w:t>
            </w:r>
            <w:r w:rsidR="00A44470">
              <w:rPr>
                <w:rFonts w:ascii="Calibri" w:hAnsi="Calibri" w:cs="Calibri"/>
                <w:sz w:val="24"/>
                <w:szCs w:val="24"/>
              </w:rPr>
              <w:t>.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240-260.</w:t>
            </w:r>
          </w:p>
          <w:p w:rsidR="00863147" w:rsidRPr="00863147" w:rsidRDefault="00F97CBF" w:rsidP="00863147">
            <w:pPr>
              <w:pStyle w:val="Sangradetextonormal"/>
              <w:spacing w:before="0" w:line="24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“Sobre las falsas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interpretationes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de la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editio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aurelianensis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586”"/>
              </w:smartTagPr>
              <w:r w:rsidR="00863147" w:rsidRPr="00863147">
                <w:rPr>
                  <w:rFonts w:ascii="Calibri" w:hAnsi="Calibri" w:cs="Calibri"/>
                  <w:sz w:val="24"/>
                  <w:szCs w:val="24"/>
                </w:rPr>
                <w:t>1586”</w:t>
              </w:r>
            </w:smartTag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, en </w:t>
            </w:r>
            <w:proofErr w:type="spellStart"/>
            <w:r w:rsidR="00863147" w:rsidRPr="00863147">
              <w:rPr>
                <w:rFonts w:ascii="Calibri" w:hAnsi="Calibri" w:cs="Calibri"/>
                <w:i/>
                <w:sz w:val="24"/>
                <w:szCs w:val="24"/>
              </w:rPr>
              <w:t>Initium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>, 14 (2009). Págs</w:t>
            </w:r>
            <w:r w:rsidR="00A44470">
              <w:rPr>
                <w:rFonts w:ascii="Calibri" w:hAnsi="Calibri" w:cs="Calibri"/>
                <w:sz w:val="24"/>
                <w:szCs w:val="24"/>
              </w:rPr>
              <w:t>.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729-760. </w:t>
            </w:r>
          </w:p>
          <w:p w:rsidR="00863147" w:rsidRPr="00863147" w:rsidRDefault="00F97CBF" w:rsidP="00863147">
            <w:pPr>
              <w:tabs>
                <w:tab w:val="left" w:pos="2835"/>
                <w:tab w:val="left" w:pos="4820"/>
              </w:tabs>
              <w:jc w:val="both"/>
              <w:outlineLvl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r w:rsidR="00863147" w:rsidRPr="00863147">
              <w:rPr>
                <w:rFonts w:ascii="Calibri" w:hAnsi="Calibri" w:cs="Calibri"/>
                <w:sz w:val="24"/>
                <w:szCs w:val="24"/>
                <w:lang w:val="es-ES_tradnl"/>
              </w:rPr>
              <w:t>El entronque histórico-jurídico del concepto de la mediación desde el derecho romano hasta la actualidad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>”</w:t>
            </w:r>
            <w:r w:rsidR="00A44470">
              <w:rPr>
                <w:rFonts w:ascii="Calibri" w:hAnsi="Calibri" w:cs="Calibri"/>
                <w:sz w:val="24"/>
                <w:szCs w:val="24"/>
              </w:rPr>
              <w:t xml:space="preserve"> (con Mó</w:t>
            </w:r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nica </w:t>
            </w:r>
            <w:proofErr w:type="spellStart"/>
            <w:r w:rsidR="00863147" w:rsidRPr="00863147">
              <w:rPr>
                <w:rFonts w:ascii="Calibri" w:hAnsi="Calibri" w:cs="Calibri"/>
                <w:sz w:val="24"/>
                <w:szCs w:val="24"/>
              </w:rPr>
              <w:t>Muesmann</w:t>
            </w:r>
            <w:proofErr w:type="spellEnd"/>
            <w:r w:rsidR="00863147" w:rsidRPr="00863147">
              <w:rPr>
                <w:rFonts w:ascii="Calibri" w:hAnsi="Calibri" w:cs="Calibri"/>
                <w:sz w:val="24"/>
                <w:szCs w:val="24"/>
              </w:rPr>
              <w:t xml:space="preserve">), en </w:t>
            </w:r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La mediación: Pasado, presente y futuro de una institución jurídica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, La Coruña 2010. Págs. 23-34. </w:t>
            </w:r>
          </w:p>
          <w:p w:rsidR="00863147" w:rsidRPr="00863147" w:rsidRDefault="00F97CBF" w:rsidP="00863147">
            <w:pPr>
              <w:tabs>
                <w:tab w:val="left" w:pos="2835"/>
                <w:tab w:val="left" w:pos="4820"/>
              </w:tabs>
              <w:jc w:val="both"/>
              <w:outlineLvl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-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 “Una aproximación a la naturaleza del </w:t>
            </w:r>
            <w:proofErr w:type="spellStart"/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quasi</w:t>
            </w:r>
            <w:proofErr w:type="spellEnd"/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ususfructus</w:t>
            </w:r>
            <w:proofErr w:type="spellEnd"/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”, en </w:t>
            </w:r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Anuario Jurídico Villanueva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 6 (2012). Págs. 79-102.</w:t>
            </w:r>
          </w:p>
          <w:p w:rsidR="00863147" w:rsidRPr="00863147" w:rsidRDefault="00F97CBF" w:rsidP="00863147">
            <w:pPr>
              <w:tabs>
                <w:tab w:val="left" w:pos="2835"/>
                <w:tab w:val="left" w:pos="4820"/>
              </w:tabs>
              <w:jc w:val="both"/>
              <w:outlineLvl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-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 “Aspectos romanos y modernos de la dación en pago”, en </w:t>
            </w:r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Libro Homenaje al profesor García Amigo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>, en prensa. Págs. 1-20.</w:t>
            </w:r>
          </w:p>
          <w:p w:rsidR="00863147" w:rsidRPr="00863147" w:rsidRDefault="00F97CBF" w:rsidP="00863147">
            <w:pPr>
              <w:tabs>
                <w:tab w:val="left" w:pos="2835"/>
                <w:tab w:val="left" w:pos="4820"/>
              </w:tabs>
              <w:jc w:val="both"/>
              <w:outlineLvl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- </w:t>
            </w:r>
            <w:r w:rsidR="001C0668">
              <w:rPr>
                <w:rFonts w:ascii="Calibri" w:hAnsi="Calibri" w:cs="Calibri"/>
                <w:iCs/>
                <w:sz w:val="24"/>
                <w:szCs w:val="24"/>
              </w:rPr>
              <w:t>“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Minoría de edad y legislación justinianea”, en </w:t>
            </w:r>
            <w:r w:rsidR="00863147" w:rsidRPr="00863147">
              <w:rPr>
                <w:rFonts w:ascii="Calibri" w:hAnsi="Calibri" w:cs="Calibri"/>
                <w:i/>
                <w:iCs/>
                <w:sz w:val="24"/>
                <w:szCs w:val="24"/>
              </w:rPr>
              <w:t>Seminarios Complutenses de Derecho Romano</w:t>
            </w:r>
            <w:r w:rsidR="00863147" w:rsidRPr="00863147">
              <w:rPr>
                <w:rFonts w:ascii="Calibri" w:hAnsi="Calibri" w:cs="Calibri"/>
                <w:iCs/>
                <w:sz w:val="24"/>
                <w:szCs w:val="24"/>
              </w:rPr>
              <w:t xml:space="preserve"> 28 (2016), pp. 397-415.</w:t>
            </w:r>
          </w:p>
          <w:p w:rsidR="001D7F79" w:rsidRPr="00863147" w:rsidRDefault="001D7F79" w:rsidP="00863147">
            <w:pPr>
              <w:rPr>
                <w:rFonts w:ascii="Calibri" w:hAnsi="Calibri" w:cs="Calibri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94" w:rsidRDefault="00C15494" w:rsidP="001D7F79">
      <w:pPr>
        <w:spacing w:after="0" w:line="240" w:lineRule="auto"/>
      </w:pPr>
      <w:r>
        <w:separator/>
      </w:r>
    </w:p>
  </w:endnote>
  <w:endnote w:type="continuationSeparator" w:id="0">
    <w:p w:rsidR="00C15494" w:rsidRDefault="00C1549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94" w:rsidRDefault="00C15494" w:rsidP="001D7F79">
      <w:pPr>
        <w:spacing w:after="0" w:line="240" w:lineRule="auto"/>
      </w:pPr>
      <w:r>
        <w:separator/>
      </w:r>
    </w:p>
  </w:footnote>
  <w:footnote w:type="continuationSeparator" w:id="0">
    <w:p w:rsidR="00C15494" w:rsidRDefault="00C1549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C0668"/>
    <w:rsid w:val="001D5804"/>
    <w:rsid w:val="001D7F79"/>
    <w:rsid w:val="0024481E"/>
    <w:rsid w:val="002726C7"/>
    <w:rsid w:val="002A3D28"/>
    <w:rsid w:val="002A7070"/>
    <w:rsid w:val="002E0289"/>
    <w:rsid w:val="003A369F"/>
    <w:rsid w:val="003C5BF7"/>
    <w:rsid w:val="004C1293"/>
    <w:rsid w:val="004D76B6"/>
    <w:rsid w:val="00506DA3"/>
    <w:rsid w:val="0055671E"/>
    <w:rsid w:val="005B38F9"/>
    <w:rsid w:val="006A0346"/>
    <w:rsid w:val="006E5F82"/>
    <w:rsid w:val="007579F8"/>
    <w:rsid w:val="00760D07"/>
    <w:rsid w:val="0076437D"/>
    <w:rsid w:val="00780D55"/>
    <w:rsid w:val="00853113"/>
    <w:rsid w:val="00863147"/>
    <w:rsid w:val="00863858"/>
    <w:rsid w:val="00974CD4"/>
    <w:rsid w:val="00990AA2"/>
    <w:rsid w:val="009B5941"/>
    <w:rsid w:val="00A44470"/>
    <w:rsid w:val="00A46E98"/>
    <w:rsid w:val="00AA6974"/>
    <w:rsid w:val="00AD643F"/>
    <w:rsid w:val="00B32F6A"/>
    <w:rsid w:val="00C15494"/>
    <w:rsid w:val="00CC3283"/>
    <w:rsid w:val="00D016F8"/>
    <w:rsid w:val="00D75D9E"/>
    <w:rsid w:val="00E12336"/>
    <w:rsid w:val="00EA45FA"/>
    <w:rsid w:val="00EF2C9D"/>
    <w:rsid w:val="00F12F70"/>
    <w:rsid w:val="00F249AD"/>
    <w:rsid w:val="00F36336"/>
    <w:rsid w:val="00F46039"/>
    <w:rsid w:val="00F77EB7"/>
    <w:rsid w:val="00F97CBF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863147"/>
    <w:pPr>
      <w:tabs>
        <w:tab w:val="left" w:pos="-720"/>
        <w:tab w:val="left" w:pos="0"/>
        <w:tab w:val="left" w:pos="720"/>
      </w:tabs>
      <w:suppressAutoHyphens/>
      <w:spacing w:before="120" w:after="0" w:line="360" w:lineRule="auto"/>
      <w:ind w:left="1134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3147"/>
    <w:rPr>
      <w:rFonts w:ascii="Times New Roman" w:eastAsia="Times New Roman" w:hAnsi="Times New Roman" w:cs="Times New Roman"/>
      <w:spacing w:val="-3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863147"/>
    <w:pPr>
      <w:tabs>
        <w:tab w:val="left" w:pos="-720"/>
        <w:tab w:val="left" w:pos="0"/>
        <w:tab w:val="left" w:pos="720"/>
      </w:tabs>
      <w:suppressAutoHyphens/>
      <w:spacing w:before="120" w:after="0" w:line="360" w:lineRule="auto"/>
      <w:ind w:left="1134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3147"/>
    <w:rPr>
      <w:rFonts w:ascii="Times New Roman" w:eastAsia="Times New Roman" w:hAnsi="Times New Roman" w:cs="Times New Roman"/>
      <w:spacing w:val="-3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2019-06-18T16:23:00Z</dcterms:created>
  <dcterms:modified xsi:type="dcterms:W3CDTF">2019-06-18T16:23:00Z</dcterms:modified>
</cp:coreProperties>
</file>